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26A" w14:textId="41083F52" w:rsidR="008820B0" w:rsidRPr="00F501E9" w:rsidRDefault="00C7388F" w:rsidP="00C7388F">
      <w:pPr>
        <w:pStyle w:val="Ttulo1"/>
        <w:jc w:val="center"/>
        <w:rPr>
          <w:rStyle w:val="Ninguno"/>
          <w:b/>
          <w:bCs/>
          <w:color w:val="auto"/>
          <w:sz w:val="36"/>
          <w:szCs w:val="36"/>
        </w:rPr>
      </w:pPr>
      <w:r w:rsidRPr="00F501E9">
        <w:rPr>
          <w:rStyle w:val="Ninguno"/>
          <w:rFonts w:ascii="Calibri" w:eastAsia="Calibri" w:hAnsi="Calibri" w:cs="Calibri"/>
          <w:b/>
          <w:bCs/>
          <w:color w:val="auto"/>
          <w:sz w:val="36"/>
          <w:szCs w:val="36"/>
          <w:lang w:val="es-ES_tradnl"/>
        </w:rPr>
        <w:t xml:space="preserve">CONTRATO DE ALQUILER </w:t>
      </w:r>
      <w:r w:rsidR="005F49EC">
        <w:rPr>
          <w:rStyle w:val="Ninguno"/>
          <w:rFonts w:ascii="Calibri" w:eastAsia="Calibri" w:hAnsi="Calibri" w:cs="Calibri"/>
          <w:b/>
          <w:bCs/>
          <w:color w:val="auto"/>
          <w:sz w:val="36"/>
          <w:szCs w:val="36"/>
          <w:lang w:val="es-ES_tradnl"/>
        </w:rPr>
        <w:br/>
      </w:r>
      <w:r w:rsidRPr="00F501E9">
        <w:rPr>
          <w:rStyle w:val="Ninguno"/>
          <w:rFonts w:ascii="Calibri" w:eastAsia="Calibri" w:hAnsi="Calibri" w:cs="Calibri"/>
          <w:b/>
          <w:bCs/>
          <w:color w:val="auto"/>
          <w:sz w:val="36"/>
          <w:szCs w:val="36"/>
          <w:lang w:val="es-ES_tradnl"/>
        </w:rPr>
        <w:t>TAQUILLAS CAMPO SAN SEBASTI</w:t>
      </w:r>
      <w:r w:rsidRPr="00F501E9">
        <w:rPr>
          <w:rStyle w:val="Ninguno"/>
          <w:rFonts w:ascii="Calibri" w:eastAsia="Calibri" w:hAnsi="Calibri" w:cs="Calibri"/>
          <w:b/>
          <w:bCs/>
          <w:color w:val="auto"/>
          <w:sz w:val="36"/>
          <w:szCs w:val="36"/>
        </w:rPr>
        <w:t xml:space="preserve">ÁN </w:t>
      </w:r>
      <w:r w:rsidR="005F49EC">
        <w:rPr>
          <w:rStyle w:val="Ninguno"/>
          <w:rFonts w:ascii="Calibri" w:eastAsia="Calibri" w:hAnsi="Calibri" w:cs="Calibri"/>
          <w:b/>
          <w:bCs/>
          <w:color w:val="auto"/>
          <w:sz w:val="36"/>
          <w:szCs w:val="36"/>
        </w:rPr>
        <w:br/>
      </w:r>
      <w:r w:rsidRPr="00F501E9">
        <w:rPr>
          <w:rStyle w:val="Ninguno"/>
          <w:rFonts w:ascii="Calibri" w:eastAsia="Calibri" w:hAnsi="Calibri" w:cs="Calibri"/>
          <w:b/>
          <w:bCs/>
          <w:color w:val="auto"/>
          <w:sz w:val="36"/>
          <w:szCs w:val="36"/>
        </w:rPr>
        <w:t>202</w:t>
      </w:r>
      <w:r w:rsidR="002F17B8">
        <w:rPr>
          <w:rStyle w:val="Ninguno"/>
          <w:rFonts w:ascii="Calibri" w:eastAsia="Calibri" w:hAnsi="Calibri" w:cs="Calibri"/>
          <w:b/>
          <w:bCs/>
          <w:color w:val="auto"/>
          <w:sz w:val="36"/>
          <w:szCs w:val="36"/>
        </w:rPr>
        <w:t>3</w:t>
      </w:r>
    </w:p>
    <w:p w14:paraId="013AB708" w14:textId="32DB203E" w:rsidR="008820B0" w:rsidRDefault="008820B0">
      <w:pPr>
        <w:pStyle w:val="Cuerpo"/>
      </w:pPr>
    </w:p>
    <w:p w14:paraId="1B70AF9C" w14:textId="4D0DB948" w:rsidR="008D1028" w:rsidRDefault="008D1028">
      <w:pPr>
        <w:pStyle w:val="Cuerpo"/>
      </w:pPr>
    </w:p>
    <w:p w14:paraId="2289CF2F" w14:textId="1BDDF141" w:rsidR="008D1028" w:rsidRDefault="008D1028">
      <w:pPr>
        <w:pStyle w:val="Cuerpo"/>
      </w:pPr>
    </w:p>
    <w:p w14:paraId="039CFE8B" w14:textId="77777777" w:rsidR="00F501E9" w:rsidRDefault="00F501E9">
      <w:pPr>
        <w:pStyle w:val="Cuerpo"/>
      </w:pP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64"/>
        <w:gridCol w:w="5630"/>
      </w:tblGrid>
      <w:tr w:rsidR="008820B0" w14:paraId="48890A0C" w14:textId="77777777" w:rsidTr="00B617A6">
        <w:trPr>
          <w:trHeight w:val="250"/>
        </w:trPr>
        <w:tc>
          <w:tcPr>
            <w:tcW w:w="2864" w:type="dxa"/>
            <w:tcBorders>
              <w:top w:val="single" w:sz="12" w:space="0" w:color="000000"/>
              <w:left w:val="single" w:sz="12" w:space="0" w:color="000000"/>
              <w:bottom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448C5C10" w14:textId="51B6315E" w:rsidR="008820B0" w:rsidRDefault="00C7388F" w:rsidP="00F501E9">
            <w:pPr>
              <w:pStyle w:val="Cuerpo"/>
              <w:jc w:val="center"/>
            </w:pPr>
            <w:r>
              <w:rPr>
                <w:rStyle w:val="Ninguno"/>
                <w:b/>
                <w:bCs/>
              </w:rPr>
              <w:t>DATOS ARRENDADOR</w:t>
            </w:r>
          </w:p>
        </w:tc>
        <w:tc>
          <w:tcPr>
            <w:tcW w:w="563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88FB469" w14:textId="77777777" w:rsidR="008820B0" w:rsidRDefault="00C7388F" w:rsidP="00F501E9">
            <w:pPr>
              <w:pStyle w:val="Cuerpo"/>
              <w:spacing w:after="0" w:line="240" w:lineRule="auto"/>
              <w:jc w:val="center"/>
              <w:rPr>
                <w:rStyle w:val="Ninguno"/>
              </w:rPr>
            </w:pPr>
            <w:r>
              <w:rPr>
                <w:rStyle w:val="Ninguno"/>
              </w:rPr>
              <w:t>Real Federación Española de Tiro con Arco</w:t>
            </w:r>
          </w:p>
          <w:p w14:paraId="57B4A775" w14:textId="6C08FC3B" w:rsidR="00F501E9" w:rsidRDefault="00F501E9" w:rsidP="00F501E9">
            <w:pPr>
              <w:pStyle w:val="Cuerpo"/>
              <w:spacing w:after="0" w:line="240" w:lineRule="auto"/>
              <w:jc w:val="center"/>
            </w:pPr>
            <w:r>
              <w:rPr>
                <w:rStyle w:val="Ninguno"/>
              </w:rPr>
              <w:t xml:space="preserve">C/Altamirano </w:t>
            </w:r>
            <w:proofErr w:type="spellStart"/>
            <w:r>
              <w:rPr>
                <w:rStyle w:val="Ninguno"/>
              </w:rPr>
              <w:t>nº</w:t>
            </w:r>
            <w:proofErr w:type="spellEnd"/>
            <w:r>
              <w:rPr>
                <w:rStyle w:val="Ninguno"/>
              </w:rPr>
              <w:t xml:space="preserve"> 30 1D</w:t>
            </w:r>
          </w:p>
        </w:tc>
      </w:tr>
      <w:tr w:rsidR="00F501E9" w14:paraId="0333CF32" w14:textId="77777777" w:rsidTr="00B617A6">
        <w:trPr>
          <w:trHeight w:val="250"/>
        </w:trPr>
        <w:tc>
          <w:tcPr>
            <w:tcW w:w="2864" w:type="dxa"/>
            <w:vMerge w:val="restart"/>
            <w:tcBorders>
              <w:top w:val="single" w:sz="12" w:space="0" w:color="000000"/>
              <w:left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6FF1974E" w14:textId="4B5792EA" w:rsidR="00F501E9" w:rsidRPr="00F501E9" w:rsidRDefault="00F501E9" w:rsidP="00F501E9">
            <w:pPr>
              <w:jc w:val="center"/>
              <w:rPr>
                <w:rFonts w:ascii="Calibri" w:hAnsi="Calibri" w:cs="Calibri"/>
                <w:sz w:val="22"/>
                <w:szCs w:val="22"/>
              </w:rPr>
            </w:pPr>
            <w:r w:rsidRPr="00F501E9">
              <w:rPr>
                <w:rStyle w:val="Ninguno"/>
                <w:rFonts w:ascii="Calibri" w:hAnsi="Calibri" w:cs="Calibri"/>
                <w:b/>
                <w:bCs/>
                <w:sz w:val="22"/>
                <w:szCs w:val="22"/>
              </w:rPr>
              <w:t>DATOS USUARIO ARRENDATARIO</w:t>
            </w:r>
          </w:p>
        </w:tc>
        <w:tc>
          <w:tcPr>
            <w:tcW w:w="563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2466F98" w14:textId="40E31874" w:rsidR="00F501E9" w:rsidRPr="00F501E9" w:rsidRDefault="00F501E9" w:rsidP="00F501E9">
            <w:pPr>
              <w:rPr>
                <w:rFonts w:ascii="Calibri" w:hAnsi="Calibri" w:cs="Calibri"/>
              </w:rPr>
            </w:pPr>
            <w:r w:rsidRPr="00F501E9">
              <w:rPr>
                <w:rStyle w:val="Ninguno"/>
                <w:rFonts w:ascii="Calibri" w:hAnsi="Calibri" w:cs="Calibri"/>
              </w:rPr>
              <w:t>Nombre:</w:t>
            </w:r>
          </w:p>
        </w:tc>
      </w:tr>
      <w:tr w:rsidR="00F501E9" w14:paraId="028FAB24" w14:textId="77777777" w:rsidTr="00B617A6">
        <w:trPr>
          <w:trHeight w:val="250"/>
        </w:trPr>
        <w:tc>
          <w:tcPr>
            <w:tcW w:w="2864" w:type="dxa"/>
            <w:vMerge/>
            <w:tcBorders>
              <w:left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75A074BF" w14:textId="640606D7" w:rsidR="00F501E9" w:rsidRPr="00F501E9" w:rsidRDefault="00F501E9" w:rsidP="00F501E9">
            <w:pPr>
              <w:pStyle w:val="Cuerpo"/>
              <w:spacing w:after="0" w:line="240" w:lineRule="auto"/>
              <w:jc w:val="center"/>
            </w:pPr>
          </w:p>
        </w:tc>
        <w:tc>
          <w:tcPr>
            <w:tcW w:w="563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7ABBD73" w14:textId="632E03F0" w:rsidR="00F501E9" w:rsidRPr="00F501E9" w:rsidRDefault="00F501E9" w:rsidP="00F501E9">
            <w:pPr>
              <w:rPr>
                <w:rFonts w:ascii="Calibri" w:hAnsi="Calibri" w:cs="Calibri"/>
              </w:rPr>
            </w:pPr>
            <w:proofErr w:type="spellStart"/>
            <w:r w:rsidRPr="00F501E9">
              <w:rPr>
                <w:rStyle w:val="Ninguno"/>
                <w:rFonts w:ascii="Calibri" w:hAnsi="Calibri" w:cs="Calibri"/>
              </w:rPr>
              <w:t>Apellidos</w:t>
            </w:r>
            <w:proofErr w:type="spellEnd"/>
            <w:r w:rsidRPr="00F501E9">
              <w:rPr>
                <w:rStyle w:val="Ninguno"/>
                <w:rFonts w:ascii="Calibri" w:hAnsi="Calibri" w:cs="Calibri"/>
              </w:rPr>
              <w:t>:</w:t>
            </w:r>
          </w:p>
        </w:tc>
      </w:tr>
      <w:tr w:rsidR="00F501E9" w14:paraId="5AA006F8" w14:textId="77777777" w:rsidTr="00B617A6">
        <w:trPr>
          <w:trHeight w:val="250"/>
        </w:trPr>
        <w:tc>
          <w:tcPr>
            <w:tcW w:w="2864" w:type="dxa"/>
            <w:vMerge/>
            <w:tcBorders>
              <w:left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5CA526B2" w14:textId="56413F32" w:rsidR="00F501E9" w:rsidRPr="00F501E9" w:rsidRDefault="00F501E9" w:rsidP="00F501E9">
            <w:pPr>
              <w:pStyle w:val="Cuerpo"/>
              <w:spacing w:after="0" w:line="240" w:lineRule="auto"/>
              <w:jc w:val="center"/>
            </w:pPr>
          </w:p>
        </w:tc>
        <w:tc>
          <w:tcPr>
            <w:tcW w:w="563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6CA515C" w14:textId="7759FA4E" w:rsidR="00F501E9" w:rsidRPr="00F501E9" w:rsidRDefault="00F501E9" w:rsidP="00F501E9">
            <w:pPr>
              <w:rPr>
                <w:rFonts w:ascii="Calibri" w:hAnsi="Calibri" w:cs="Calibri"/>
              </w:rPr>
            </w:pPr>
            <w:proofErr w:type="spellStart"/>
            <w:r w:rsidRPr="00F501E9">
              <w:rPr>
                <w:rStyle w:val="Ninguno"/>
                <w:rFonts w:ascii="Calibri" w:hAnsi="Calibri" w:cs="Calibri"/>
              </w:rPr>
              <w:t>Teléfono</w:t>
            </w:r>
            <w:proofErr w:type="spellEnd"/>
            <w:r w:rsidRPr="00F501E9">
              <w:rPr>
                <w:rStyle w:val="Ninguno"/>
                <w:rFonts w:ascii="Calibri" w:hAnsi="Calibri" w:cs="Calibri"/>
              </w:rPr>
              <w:t>:</w:t>
            </w:r>
          </w:p>
        </w:tc>
      </w:tr>
      <w:tr w:rsidR="00F501E9" w14:paraId="1A440BC5" w14:textId="77777777" w:rsidTr="00B617A6">
        <w:trPr>
          <w:trHeight w:val="250"/>
        </w:trPr>
        <w:tc>
          <w:tcPr>
            <w:tcW w:w="2864" w:type="dxa"/>
            <w:vMerge/>
            <w:tcBorders>
              <w:left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48383C0C" w14:textId="202239E2" w:rsidR="00F501E9" w:rsidRPr="00F501E9" w:rsidRDefault="00F501E9" w:rsidP="00F501E9">
            <w:pPr>
              <w:pStyle w:val="Cuerpo"/>
              <w:spacing w:after="0" w:line="240" w:lineRule="auto"/>
              <w:jc w:val="center"/>
            </w:pPr>
          </w:p>
        </w:tc>
        <w:tc>
          <w:tcPr>
            <w:tcW w:w="563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0647E0A" w14:textId="51E486A9" w:rsidR="00F501E9" w:rsidRPr="00F501E9" w:rsidRDefault="00F501E9" w:rsidP="00F501E9">
            <w:pPr>
              <w:rPr>
                <w:rFonts w:ascii="Calibri" w:hAnsi="Calibri" w:cs="Calibri"/>
              </w:rPr>
            </w:pPr>
            <w:proofErr w:type="spellStart"/>
            <w:r w:rsidRPr="00F501E9">
              <w:rPr>
                <w:rStyle w:val="Ninguno"/>
                <w:rFonts w:ascii="Calibri" w:hAnsi="Calibri" w:cs="Calibri"/>
              </w:rPr>
              <w:t>Correo</w:t>
            </w:r>
            <w:proofErr w:type="spellEnd"/>
            <w:r w:rsidRPr="00F501E9">
              <w:rPr>
                <w:rStyle w:val="Ninguno"/>
                <w:rFonts w:ascii="Calibri" w:hAnsi="Calibri" w:cs="Calibri"/>
              </w:rPr>
              <w:t xml:space="preserve"> </w:t>
            </w:r>
            <w:proofErr w:type="spellStart"/>
            <w:r w:rsidRPr="00F501E9">
              <w:rPr>
                <w:rStyle w:val="Ninguno"/>
                <w:rFonts w:ascii="Calibri" w:hAnsi="Calibri" w:cs="Calibri"/>
              </w:rPr>
              <w:t>electrónico</w:t>
            </w:r>
            <w:proofErr w:type="spellEnd"/>
            <w:r w:rsidRPr="00F501E9">
              <w:rPr>
                <w:rStyle w:val="Ninguno"/>
                <w:rFonts w:ascii="Calibri" w:hAnsi="Calibri" w:cs="Calibri"/>
              </w:rPr>
              <w:t>:</w:t>
            </w:r>
          </w:p>
        </w:tc>
      </w:tr>
      <w:tr w:rsidR="00F501E9" w14:paraId="4B6CFBA3" w14:textId="77777777" w:rsidTr="00B617A6">
        <w:trPr>
          <w:trHeight w:val="250"/>
        </w:trPr>
        <w:tc>
          <w:tcPr>
            <w:tcW w:w="2864" w:type="dxa"/>
            <w:vMerge/>
            <w:tcBorders>
              <w:left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3F8438A4" w14:textId="5C1348F9" w:rsidR="00F501E9" w:rsidRPr="00F501E9" w:rsidRDefault="00F501E9" w:rsidP="00F501E9">
            <w:pPr>
              <w:pStyle w:val="Cuerpo"/>
              <w:spacing w:after="0" w:line="240" w:lineRule="auto"/>
              <w:jc w:val="center"/>
            </w:pPr>
          </w:p>
        </w:tc>
        <w:tc>
          <w:tcPr>
            <w:tcW w:w="5630"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E7DCEA2" w14:textId="470ED2D7" w:rsidR="00F501E9" w:rsidRPr="00F501E9" w:rsidRDefault="00F501E9" w:rsidP="00F501E9">
            <w:pPr>
              <w:rPr>
                <w:rFonts w:ascii="Calibri" w:hAnsi="Calibri" w:cs="Calibri"/>
              </w:rPr>
            </w:pPr>
            <w:proofErr w:type="spellStart"/>
            <w:r w:rsidRPr="00F501E9">
              <w:rPr>
                <w:rStyle w:val="Ninguno"/>
                <w:rFonts w:ascii="Calibri" w:hAnsi="Calibri" w:cs="Calibri"/>
              </w:rPr>
              <w:t>Número</w:t>
            </w:r>
            <w:proofErr w:type="spellEnd"/>
            <w:r w:rsidRPr="00F501E9">
              <w:rPr>
                <w:rStyle w:val="Ninguno"/>
                <w:rFonts w:ascii="Calibri" w:hAnsi="Calibri" w:cs="Calibri"/>
              </w:rPr>
              <w:t xml:space="preserve"> de </w:t>
            </w:r>
            <w:proofErr w:type="spellStart"/>
            <w:r w:rsidRPr="00F501E9">
              <w:rPr>
                <w:rStyle w:val="Ninguno"/>
                <w:rFonts w:ascii="Calibri" w:hAnsi="Calibri" w:cs="Calibri"/>
              </w:rPr>
              <w:t>taquilla</w:t>
            </w:r>
            <w:proofErr w:type="spellEnd"/>
            <w:r w:rsidRPr="00F501E9">
              <w:rPr>
                <w:rStyle w:val="Ninguno"/>
                <w:rFonts w:ascii="Calibri" w:hAnsi="Calibri" w:cs="Calibri"/>
              </w:rPr>
              <w:t xml:space="preserve"> </w:t>
            </w:r>
            <w:proofErr w:type="spellStart"/>
            <w:r w:rsidRPr="00F501E9">
              <w:rPr>
                <w:rStyle w:val="Ninguno"/>
                <w:rFonts w:ascii="Calibri" w:hAnsi="Calibri" w:cs="Calibri"/>
              </w:rPr>
              <w:t>asignada</w:t>
            </w:r>
            <w:proofErr w:type="spellEnd"/>
            <w:r w:rsidRPr="00F501E9">
              <w:rPr>
                <w:rStyle w:val="Ninguno"/>
                <w:rFonts w:ascii="Calibri" w:hAnsi="Calibri" w:cs="Calibri"/>
              </w:rPr>
              <w:t>:</w:t>
            </w:r>
          </w:p>
        </w:tc>
      </w:tr>
      <w:tr w:rsidR="00F501E9" w14:paraId="69980270" w14:textId="77777777" w:rsidTr="00B617A6">
        <w:trPr>
          <w:trHeight w:val="250"/>
        </w:trPr>
        <w:tc>
          <w:tcPr>
            <w:tcW w:w="2864" w:type="dxa"/>
            <w:vMerge/>
            <w:tcBorders>
              <w:left w:val="single" w:sz="12" w:space="0" w:color="000000"/>
              <w:bottom w:val="single" w:sz="12" w:space="0" w:color="000000"/>
              <w:right w:val="single" w:sz="12" w:space="0" w:color="000000"/>
            </w:tcBorders>
            <w:shd w:val="clear" w:color="auto" w:fill="EDEDED" w:themeFill="accent3" w:themeFillTint="33"/>
            <w:tcMar>
              <w:top w:w="80" w:type="dxa"/>
              <w:left w:w="80" w:type="dxa"/>
              <w:bottom w:w="80" w:type="dxa"/>
              <w:right w:w="80" w:type="dxa"/>
            </w:tcMar>
          </w:tcPr>
          <w:p w14:paraId="2EFE6D70" w14:textId="6AE3694C" w:rsidR="00F501E9" w:rsidRPr="00F501E9" w:rsidRDefault="00F501E9" w:rsidP="00F501E9">
            <w:pPr>
              <w:pStyle w:val="Cuerpo"/>
              <w:spacing w:after="0" w:line="240" w:lineRule="auto"/>
              <w:jc w:val="center"/>
            </w:pPr>
          </w:p>
        </w:tc>
        <w:tc>
          <w:tcPr>
            <w:tcW w:w="5630"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1B937A1" w14:textId="1EBB6CF5" w:rsidR="00F501E9" w:rsidRPr="00F501E9" w:rsidRDefault="00F501E9" w:rsidP="00F501E9">
            <w:pPr>
              <w:rPr>
                <w:rFonts w:ascii="Calibri" w:hAnsi="Calibri" w:cs="Calibri"/>
              </w:rPr>
            </w:pPr>
            <w:proofErr w:type="spellStart"/>
            <w:r w:rsidRPr="00F501E9">
              <w:rPr>
                <w:rStyle w:val="Ninguno"/>
                <w:rFonts w:ascii="Calibri" w:hAnsi="Calibri" w:cs="Calibri"/>
              </w:rPr>
              <w:t>Número</w:t>
            </w:r>
            <w:proofErr w:type="spellEnd"/>
            <w:r w:rsidRPr="00F501E9">
              <w:rPr>
                <w:rStyle w:val="Ninguno"/>
                <w:rFonts w:ascii="Calibri" w:hAnsi="Calibri" w:cs="Calibri"/>
              </w:rPr>
              <w:t xml:space="preserve"> de </w:t>
            </w:r>
            <w:proofErr w:type="spellStart"/>
            <w:r w:rsidRPr="00F501E9">
              <w:rPr>
                <w:rStyle w:val="Ninguno"/>
                <w:rFonts w:ascii="Calibri" w:hAnsi="Calibri" w:cs="Calibri"/>
              </w:rPr>
              <w:t>contrato</w:t>
            </w:r>
            <w:proofErr w:type="spellEnd"/>
            <w:r w:rsidRPr="00F501E9">
              <w:rPr>
                <w:rStyle w:val="Ninguno"/>
                <w:rFonts w:ascii="Calibri" w:hAnsi="Calibri" w:cs="Calibri"/>
              </w:rPr>
              <w:t>:</w:t>
            </w:r>
          </w:p>
        </w:tc>
      </w:tr>
    </w:tbl>
    <w:p w14:paraId="4810363D" w14:textId="77777777" w:rsidR="008820B0" w:rsidRDefault="008820B0">
      <w:pPr>
        <w:pStyle w:val="Cuerpo"/>
      </w:pPr>
    </w:p>
    <w:p w14:paraId="0C5AD7ED" w14:textId="77777777" w:rsidR="008D1028" w:rsidRDefault="008D1028">
      <w:pPr>
        <w:pStyle w:val="Cuerpo"/>
        <w:rPr>
          <w:rStyle w:val="Ninguno"/>
        </w:rPr>
      </w:pPr>
    </w:p>
    <w:p w14:paraId="1106A9D4" w14:textId="77777777" w:rsidR="00B51215" w:rsidRDefault="00B51215">
      <w:pPr>
        <w:pStyle w:val="Cuerpo"/>
        <w:rPr>
          <w:rStyle w:val="Ninguno"/>
        </w:rPr>
      </w:pPr>
    </w:p>
    <w:p w14:paraId="774477D8" w14:textId="77777777" w:rsidR="00B51215" w:rsidRDefault="00B51215">
      <w:pPr>
        <w:pStyle w:val="Cuerpo"/>
        <w:rPr>
          <w:rStyle w:val="Ninguno"/>
        </w:rPr>
      </w:pPr>
    </w:p>
    <w:p w14:paraId="30FD9422" w14:textId="47ADF2B2" w:rsidR="008820B0" w:rsidRPr="00B51215" w:rsidRDefault="00C7388F">
      <w:pPr>
        <w:pStyle w:val="Cuerpo"/>
        <w:rPr>
          <w:rStyle w:val="Ninguno"/>
          <w:sz w:val="28"/>
          <w:szCs w:val="28"/>
        </w:rPr>
      </w:pPr>
      <w:r w:rsidRPr="00B51215">
        <w:rPr>
          <w:rStyle w:val="Ninguno"/>
          <w:sz w:val="28"/>
          <w:szCs w:val="28"/>
        </w:rPr>
        <w:t>Firma usuario:</w:t>
      </w:r>
    </w:p>
    <w:p w14:paraId="4CC3EFD4" w14:textId="77777777" w:rsidR="008820B0" w:rsidRPr="00B51215" w:rsidRDefault="008820B0">
      <w:pPr>
        <w:pStyle w:val="Cuerpo"/>
        <w:rPr>
          <w:rStyle w:val="Ninguno"/>
          <w:b/>
          <w:bCs/>
          <w:sz w:val="28"/>
          <w:szCs w:val="28"/>
        </w:rPr>
      </w:pPr>
    </w:p>
    <w:p w14:paraId="13D4741B" w14:textId="34E356BA" w:rsidR="008820B0" w:rsidRPr="00B51215" w:rsidRDefault="008820B0">
      <w:pPr>
        <w:pStyle w:val="Cuerpo"/>
        <w:rPr>
          <w:rStyle w:val="Ninguno"/>
          <w:b/>
          <w:bCs/>
          <w:sz w:val="28"/>
          <w:szCs w:val="28"/>
        </w:rPr>
      </w:pPr>
    </w:p>
    <w:p w14:paraId="40F9203D" w14:textId="305691F0" w:rsidR="00990B2B" w:rsidRPr="00B51215" w:rsidRDefault="00990B2B">
      <w:pPr>
        <w:pStyle w:val="Cuerpo"/>
        <w:rPr>
          <w:rStyle w:val="Ninguno"/>
          <w:b/>
          <w:bCs/>
          <w:sz w:val="28"/>
          <w:szCs w:val="28"/>
        </w:rPr>
      </w:pPr>
    </w:p>
    <w:p w14:paraId="04296C7F" w14:textId="4434027A" w:rsidR="00990B2B" w:rsidRPr="00B51215" w:rsidRDefault="00990B2B">
      <w:pPr>
        <w:pStyle w:val="Cuerpo"/>
        <w:rPr>
          <w:rStyle w:val="Ninguno"/>
          <w:b/>
          <w:bCs/>
          <w:sz w:val="28"/>
          <w:szCs w:val="28"/>
        </w:rPr>
      </w:pPr>
    </w:p>
    <w:p w14:paraId="1A4FE0F5" w14:textId="77777777" w:rsidR="00990B2B" w:rsidRPr="00B51215" w:rsidRDefault="00990B2B">
      <w:pPr>
        <w:pStyle w:val="Cuerpo"/>
        <w:rPr>
          <w:rStyle w:val="Ninguno"/>
          <w:b/>
          <w:bCs/>
          <w:sz w:val="28"/>
          <w:szCs w:val="28"/>
        </w:rPr>
      </w:pPr>
    </w:p>
    <w:p w14:paraId="5876EC59" w14:textId="47CF8903" w:rsidR="008820B0" w:rsidRPr="00B51215" w:rsidRDefault="00C7388F" w:rsidP="008D1028">
      <w:pPr>
        <w:pStyle w:val="Cuerpo"/>
        <w:jc w:val="right"/>
        <w:rPr>
          <w:sz w:val="28"/>
          <w:szCs w:val="28"/>
        </w:rPr>
      </w:pPr>
      <w:proofErr w:type="spellStart"/>
      <w:r w:rsidRPr="00B51215">
        <w:rPr>
          <w:rStyle w:val="Ninguno"/>
          <w:sz w:val="28"/>
          <w:szCs w:val="28"/>
          <w:lang w:val="en-US"/>
        </w:rPr>
        <w:t>En</w:t>
      </w:r>
      <w:proofErr w:type="spellEnd"/>
      <w:r w:rsidRPr="00B51215">
        <w:rPr>
          <w:rStyle w:val="Ninguno"/>
          <w:sz w:val="28"/>
          <w:szCs w:val="28"/>
          <w:lang w:val="en-US"/>
        </w:rPr>
        <w:t xml:space="preserve"> Madrid, a ______________ de ________________________ </w:t>
      </w:r>
      <w:proofErr w:type="spellStart"/>
      <w:r w:rsidRPr="00B51215">
        <w:rPr>
          <w:rStyle w:val="Ninguno"/>
          <w:sz w:val="28"/>
          <w:szCs w:val="28"/>
          <w:lang w:val="en-US"/>
        </w:rPr>
        <w:t>de</w:t>
      </w:r>
      <w:proofErr w:type="spellEnd"/>
      <w:r w:rsidRPr="00B51215">
        <w:rPr>
          <w:rStyle w:val="Ninguno"/>
          <w:sz w:val="28"/>
          <w:szCs w:val="28"/>
          <w:lang w:val="en-US"/>
        </w:rPr>
        <w:t xml:space="preserve"> 202</w:t>
      </w:r>
      <w:r w:rsidR="00F501E9" w:rsidRPr="00B51215">
        <w:rPr>
          <w:rStyle w:val="Ninguno"/>
          <w:sz w:val="28"/>
          <w:szCs w:val="28"/>
          <w:lang w:val="en-US"/>
        </w:rPr>
        <w:t>__</w:t>
      </w:r>
    </w:p>
    <w:p w14:paraId="6556098A" w14:textId="77777777" w:rsidR="008820B0" w:rsidRDefault="00C7388F">
      <w:pPr>
        <w:pStyle w:val="Cuerpo"/>
      </w:pPr>
      <w:r>
        <w:rPr>
          <w:rStyle w:val="Ninguno"/>
          <w:b/>
          <w:bCs/>
        </w:rPr>
        <w:br w:type="page"/>
      </w:r>
    </w:p>
    <w:p w14:paraId="470C458D" w14:textId="77777777" w:rsidR="00B51215" w:rsidRDefault="00B51215">
      <w:pPr>
        <w:pStyle w:val="Cuerpo"/>
        <w:jc w:val="center"/>
        <w:rPr>
          <w:rStyle w:val="Ninguno"/>
          <w:b/>
          <w:bCs/>
        </w:rPr>
      </w:pPr>
    </w:p>
    <w:p w14:paraId="30B8F2F6" w14:textId="0F607A9C" w:rsidR="008820B0" w:rsidRPr="006B4578" w:rsidRDefault="00C7388F">
      <w:pPr>
        <w:pStyle w:val="Cuerpo"/>
        <w:jc w:val="center"/>
        <w:rPr>
          <w:rStyle w:val="Ninguno"/>
          <w:b/>
          <w:bCs/>
          <w:sz w:val="24"/>
          <w:szCs w:val="24"/>
        </w:rPr>
      </w:pPr>
      <w:r w:rsidRPr="006B4578">
        <w:rPr>
          <w:rStyle w:val="Ninguno"/>
          <w:b/>
          <w:bCs/>
          <w:sz w:val="24"/>
          <w:szCs w:val="24"/>
        </w:rPr>
        <w:t xml:space="preserve">CONTRATO DE ALQUILER TAQUILLAS CAMPO SAN SEBASTIÁN </w:t>
      </w:r>
      <w:r w:rsidR="00B70769" w:rsidRPr="006B4578">
        <w:rPr>
          <w:rStyle w:val="Ninguno"/>
          <w:b/>
          <w:bCs/>
          <w:sz w:val="24"/>
          <w:szCs w:val="24"/>
        </w:rPr>
        <w:t xml:space="preserve">PARA EL AÑO </w:t>
      </w:r>
      <w:r w:rsidRPr="006B4578">
        <w:rPr>
          <w:rStyle w:val="Ninguno"/>
          <w:b/>
          <w:bCs/>
          <w:sz w:val="24"/>
          <w:szCs w:val="24"/>
        </w:rPr>
        <w:t>202</w:t>
      </w:r>
      <w:r w:rsidR="002F17B8">
        <w:rPr>
          <w:rStyle w:val="Ninguno"/>
          <w:b/>
          <w:bCs/>
          <w:sz w:val="24"/>
          <w:szCs w:val="24"/>
        </w:rPr>
        <w:t>3</w:t>
      </w:r>
    </w:p>
    <w:p w14:paraId="424D9C90" w14:textId="77777777" w:rsidR="008820B0" w:rsidRPr="006B4578" w:rsidRDefault="00C7388F">
      <w:pPr>
        <w:pStyle w:val="Prrafodelista"/>
        <w:numPr>
          <w:ilvl w:val="0"/>
          <w:numId w:val="2"/>
        </w:numPr>
        <w:jc w:val="both"/>
        <w:rPr>
          <w:b/>
          <w:bCs/>
          <w:sz w:val="24"/>
          <w:szCs w:val="24"/>
        </w:rPr>
      </w:pPr>
      <w:r w:rsidRPr="006B4578">
        <w:rPr>
          <w:rStyle w:val="Ninguno"/>
          <w:b/>
          <w:bCs/>
          <w:sz w:val="24"/>
          <w:szCs w:val="24"/>
        </w:rPr>
        <w:t>Objeto del contrato</w:t>
      </w:r>
    </w:p>
    <w:p w14:paraId="1C8F545D" w14:textId="77777777" w:rsidR="008D09C2" w:rsidRDefault="00A90692" w:rsidP="00A90692">
      <w:pPr>
        <w:pStyle w:val="Cuerpo"/>
        <w:jc w:val="both"/>
        <w:rPr>
          <w:rStyle w:val="Ninguno"/>
        </w:rPr>
      </w:pPr>
      <w:r>
        <w:rPr>
          <w:rStyle w:val="Ninguno"/>
        </w:rPr>
        <w:t xml:space="preserve">Mediante el presente contrato la Real Federación Española de Tiro con Arco, en lo sucesivo denominado </w:t>
      </w:r>
      <w:r w:rsidRPr="00907DB8">
        <w:rPr>
          <w:rStyle w:val="Ninguno"/>
          <w:u w:val="single"/>
        </w:rPr>
        <w:t>arrendador</w:t>
      </w:r>
      <w:r>
        <w:rPr>
          <w:rStyle w:val="Ninguno"/>
        </w:rPr>
        <w:t xml:space="preserve">, alquila al firmante de este contrato, en lo sucesivo denominado </w:t>
      </w:r>
      <w:r w:rsidRPr="00907DB8">
        <w:rPr>
          <w:rStyle w:val="Ninguno"/>
          <w:u w:val="single"/>
        </w:rPr>
        <w:t>arrendatario</w:t>
      </w:r>
      <w:r>
        <w:rPr>
          <w:rStyle w:val="Ninguno"/>
        </w:rPr>
        <w:t xml:space="preserve">, la taquilla descrita en el </w:t>
      </w:r>
      <w:r w:rsidR="008D09C2">
        <w:rPr>
          <w:rStyle w:val="Ninguno"/>
        </w:rPr>
        <w:t>contrato,</w:t>
      </w:r>
      <w:r>
        <w:rPr>
          <w:rStyle w:val="Ninguno"/>
        </w:rPr>
        <w:t xml:space="preserve"> de acuerdo con las</w:t>
      </w:r>
      <w:r>
        <w:rPr>
          <w:rStyle w:val="Ninguno"/>
          <w:lang w:val="nl-NL"/>
        </w:rPr>
        <w:t xml:space="preserve"> </w:t>
      </w:r>
      <w:r>
        <w:rPr>
          <w:rStyle w:val="Ninguno"/>
        </w:rPr>
        <w:t xml:space="preserve">cláusulas y condiciones contenidas en </w:t>
      </w:r>
      <w:r w:rsidR="008D09C2">
        <w:rPr>
          <w:rStyle w:val="Ninguno"/>
        </w:rPr>
        <w:t>este documento</w:t>
      </w:r>
      <w:r>
        <w:rPr>
          <w:rStyle w:val="Ninguno"/>
        </w:rPr>
        <w:t xml:space="preserve">. </w:t>
      </w:r>
    </w:p>
    <w:p w14:paraId="2ED4DAF7" w14:textId="68122901" w:rsidR="00A90692" w:rsidRDefault="00A90692" w:rsidP="00A90692">
      <w:pPr>
        <w:pStyle w:val="Cuerpo"/>
        <w:jc w:val="both"/>
        <w:rPr>
          <w:rStyle w:val="Ninguno"/>
        </w:rPr>
      </w:pPr>
      <w:r>
        <w:rPr>
          <w:rStyle w:val="Ninguno"/>
        </w:rPr>
        <w:t>El arrendatario, mediante su firma, se obliga a su cumplimiento como parte contratante.</w:t>
      </w:r>
    </w:p>
    <w:p w14:paraId="36E0FF50" w14:textId="012DEA7F"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Pago</w:t>
      </w:r>
    </w:p>
    <w:p w14:paraId="70AF61C6" w14:textId="77777777" w:rsidR="00A90692" w:rsidRPr="002E0EE3" w:rsidRDefault="00A90692" w:rsidP="00A90692">
      <w:pPr>
        <w:pStyle w:val="NormalWeb"/>
        <w:jc w:val="both"/>
      </w:pPr>
      <w:r w:rsidRPr="002E0EE3">
        <w:rPr>
          <w:rStyle w:val="Ninguno"/>
        </w:rPr>
        <w:t xml:space="preserve">El importe del alquiler será de 50 euros semestrales. Este importe </w:t>
      </w:r>
      <w:r w:rsidRPr="002E0EE3">
        <w:t xml:space="preserve">será susceptible de revisión con carácter anual y en el caso de que se produjera una modificación de dicho importe se comunicará al federado con antelación para que pueda manifestar su conformidad para renovar o rescindir el contrato. </w:t>
      </w:r>
    </w:p>
    <w:p w14:paraId="1346CE3C" w14:textId="168D9CF0" w:rsidR="00A90692" w:rsidRDefault="00A90692" w:rsidP="00A90692">
      <w:pPr>
        <w:pStyle w:val="Cuerpo"/>
        <w:jc w:val="both"/>
        <w:rPr>
          <w:rStyle w:val="Ninguno"/>
          <w:color w:val="auto"/>
        </w:rPr>
      </w:pPr>
      <w:r w:rsidRPr="002E0EE3">
        <w:rPr>
          <w:rStyle w:val="Ninguno"/>
          <w:color w:val="auto"/>
        </w:rPr>
        <w:t xml:space="preserve">El arrendatario deberá realizar el pago por adelantado a </w:t>
      </w:r>
      <w:proofErr w:type="spellStart"/>
      <w:r w:rsidRPr="002E0EE3">
        <w:rPr>
          <w:rStyle w:val="Ninguno"/>
          <w:color w:val="auto"/>
        </w:rPr>
        <w:t>trav</w:t>
      </w:r>
      <w:proofErr w:type="spellEnd"/>
      <w:r w:rsidRPr="002E0EE3">
        <w:rPr>
          <w:rStyle w:val="Ninguno"/>
          <w:color w:val="auto"/>
          <w:lang w:val="fr-FR"/>
        </w:rPr>
        <w:t>é</w:t>
      </w:r>
      <w:r w:rsidRPr="002E0EE3">
        <w:rPr>
          <w:rStyle w:val="Ninguno"/>
          <w:color w:val="auto"/>
        </w:rPr>
        <w:t xml:space="preserve">s de la plataforma de gestión de inscripciones </w:t>
      </w:r>
      <w:proofErr w:type="spellStart"/>
      <w:r w:rsidRPr="002E0EE3">
        <w:rPr>
          <w:rStyle w:val="Ninguno"/>
          <w:color w:val="auto"/>
        </w:rPr>
        <w:t>Avaibook</w:t>
      </w:r>
      <w:proofErr w:type="spellEnd"/>
      <w:r w:rsidR="00907DB8">
        <w:rPr>
          <w:rStyle w:val="Ninguno"/>
          <w:color w:val="auto"/>
        </w:rPr>
        <w:t xml:space="preserve"> </w:t>
      </w:r>
      <w:proofErr w:type="spellStart"/>
      <w:r w:rsidRPr="002E0EE3">
        <w:rPr>
          <w:rStyle w:val="Ninguno"/>
          <w:color w:val="auto"/>
        </w:rPr>
        <w:t>Sports</w:t>
      </w:r>
      <w:proofErr w:type="spellEnd"/>
      <w:r w:rsidRPr="002E0EE3">
        <w:rPr>
          <w:rStyle w:val="Ninguno"/>
          <w:color w:val="auto"/>
        </w:rPr>
        <w:t xml:space="preserve"> o por transferencia bancaria en los que figuren los datos del arrendatario y el concepto </w:t>
      </w:r>
      <w:r w:rsidRPr="002E0EE3">
        <w:rPr>
          <w:rStyle w:val="Ninguno"/>
          <w:color w:val="auto"/>
          <w:rtl/>
          <w:lang w:val="ar-SA"/>
        </w:rPr>
        <w:t>“</w:t>
      </w:r>
      <w:r w:rsidRPr="002E0EE3">
        <w:rPr>
          <w:rStyle w:val="Ninguno"/>
          <w:color w:val="auto"/>
        </w:rPr>
        <w:t>alquiler taquilla”.</w:t>
      </w:r>
    </w:p>
    <w:p w14:paraId="1E629D74"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Entrega y devolución</w:t>
      </w:r>
    </w:p>
    <w:p w14:paraId="483F33D2" w14:textId="77777777" w:rsidR="00A90692" w:rsidRDefault="00A90692" w:rsidP="00A90692">
      <w:pPr>
        <w:pStyle w:val="Cuerpo"/>
        <w:jc w:val="both"/>
      </w:pPr>
      <w:r>
        <w:rPr>
          <w:rStyle w:val="Ninguno"/>
        </w:rPr>
        <w:t xml:space="preserve">El arrendatario reconoce y declara que la taquilla se encuentra en perfecto estado general. La taquilla, en la fecha de finalización de la temporada deberá quedar vacía y expedita, siendo de cuenta del arrendatario los gastos que, por su incumplimiento, se le arrogarán al arrendador como consecuencia de la apertura de la taquilla, Además el arrendador puede tomar la decisión de no volver a alquilar taquilla alguna a dicho arrendatario en temporadas posteriores. </w:t>
      </w:r>
    </w:p>
    <w:p w14:paraId="3BB3E079" w14:textId="5DDB21DB" w:rsidR="00A90692" w:rsidRDefault="00A90692" w:rsidP="00A90692">
      <w:pPr>
        <w:pStyle w:val="Cuerpo"/>
        <w:jc w:val="both"/>
        <w:rPr>
          <w:rStyle w:val="Ninguno"/>
        </w:rPr>
      </w:pPr>
      <w:r>
        <w:rPr>
          <w:rStyle w:val="Ninguno"/>
        </w:rPr>
        <w:t xml:space="preserve">En el caso de que el arrendatario incumpliese su obligación de vaciar el contenido de la taquilla a la terminación del contrato, el arrendador o persona facultada para ello, podrá vaciar la taquilla. </w:t>
      </w:r>
    </w:p>
    <w:p w14:paraId="7EB74BFC"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Responsabilidades</w:t>
      </w:r>
    </w:p>
    <w:p w14:paraId="58EAEE11" w14:textId="77777777" w:rsidR="00A90692" w:rsidRDefault="00A90692" w:rsidP="00A90692">
      <w:pPr>
        <w:pStyle w:val="Cuerpo"/>
        <w:jc w:val="both"/>
        <w:rPr>
          <w:rStyle w:val="Ninguno"/>
        </w:rPr>
      </w:pPr>
      <w:r>
        <w:rPr>
          <w:rStyle w:val="Ninguno"/>
        </w:rPr>
        <w:t>El arrendatario será responsable de los daños que se produzcan por malicia, negligencia o uso inadecuado de la taquilla, debiendo en este caso abonar el arrendador el importe o gasto que este haya debido de sufragar por tal motivo.</w:t>
      </w:r>
    </w:p>
    <w:p w14:paraId="47BBF531" w14:textId="16C565A5" w:rsidR="00A90692" w:rsidRPr="00C7388F" w:rsidRDefault="00A90692" w:rsidP="00A90692">
      <w:pPr>
        <w:pStyle w:val="Cuerpo"/>
        <w:jc w:val="both"/>
        <w:rPr>
          <w:color w:val="auto"/>
        </w:rPr>
      </w:pPr>
      <w:r w:rsidRPr="00C7388F">
        <w:rPr>
          <w:color w:val="auto"/>
        </w:rPr>
        <w:t xml:space="preserve">El arrendatario es el responsable de hacer un buen uso de la taquilla acorde al propósito deportivo de la misma, siendo él mismo, el responsable de lo almacenado. El arrendador no se hace responsable de un uso contrario al objeto de </w:t>
      </w:r>
      <w:proofErr w:type="gramStart"/>
      <w:r w:rsidRPr="00C7388F">
        <w:rPr>
          <w:color w:val="auto"/>
        </w:rPr>
        <w:t>la misma</w:t>
      </w:r>
      <w:proofErr w:type="gramEnd"/>
      <w:r w:rsidRPr="00C7388F">
        <w:rPr>
          <w:color w:val="auto"/>
        </w:rPr>
        <w:t xml:space="preserve"> y</w:t>
      </w:r>
      <w:r w:rsidR="000C7A3C">
        <w:rPr>
          <w:color w:val="auto"/>
        </w:rPr>
        <w:t>,</w:t>
      </w:r>
      <w:r w:rsidRPr="00C7388F">
        <w:rPr>
          <w:color w:val="auto"/>
        </w:rPr>
        <w:t xml:space="preserve"> en caso de ser así, se reserva el derecho a</w:t>
      </w:r>
      <w:r w:rsidR="000C7A3C">
        <w:rPr>
          <w:color w:val="auto"/>
        </w:rPr>
        <w:t xml:space="preserve">, </w:t>
      </w:r>
      <w:r w:rsidRPr="00C7388F">
        <w:rPr>
          <w:color w:val="auto"/>
        </w:rPr>
        <w:t xml:space="preserve">tras comunicarlo con el arrendatario, rescindir este acuerdo o comunicarlo a las autoridades en el caso que así correspondiese. </w:t>
      </w:r>
    </w:p>
    <w:p w14:paraId="10BA2BAD" w14:textId="77777777" w:rsidR="00A90692" w:rsidRDefault="00A90692" w:rsidP="00A90692">
      <w:pPr>
        <w:pStyle w:val="Cuerpo"/>
        <w:jc w:val="both"/>
        <w:rPr>
          <w:rStyle w:val="Ninguno"/>
        </w:rPr>
      </w:pPr>
      <w:r>
        <w:rPr>
          <w:rStyle w:val="Ninguno"/>
        </w:rPr>
        <w:t>El arrendador no se responsabiliza de la perdida, sustracción, deterioro o cualquier otro daño que, por cualquier causa, se pueda producir a los objetos depositados en las taquillas.</w:t>
      </w:r>
    </w:p>
    <w:p w14:paraId="512A3B47" w14:textId="77777777" w:rsidR="00A90692" w:rsidRDefault="00A90692" w:rsidP="00A90692">
      <w:pPr>
        <w:rPr>
          <w:rStyle w:val="Ninguno"/>
          <w:rFonts w:ascii="Calibri" w:eastAsia="Calibri" w:hAnsi="Calibri" w:cs="Calibri"/>
          <w:color w:val="000000"/>
          <w:sz w:val="22"/>
          <w:szCs w:val="22"/>
          <w:u w:color="000000"/>
          <w:lang w:val="es-ES_tradnl" w:eastAsia="es-ES"/>
          <w14:textOutline w14:w="0" w14:cap="flat" w14:cmpd="sng" w14:algn="ctr">
            <w14:noFill/>
            <w14:prstDash w14:val="solid"/>
            <w14:bevel/>
          </w14:textOutline>
        </w:rPr>
      </w:pPr>
      <w:r>
        <w:rPr>
          <w:rStyle w:val="Ninguno"/>
        </w:rPr>
        <w:br w:type="page"/>
      </w:r>
    </w:p>
    <w:p w14:paraId="5C30EBCE" w14:textId="77777777" w:rsidR="00A90692" w:rsidRDefault="00A90692" w:rsidP="00A90692">
      <w:pPr>
        <w:pStyle w:val="Cuerpo"/>
        <w:jc w:val="both"/>
      </w:pPr>
    </w:p>
    <w:p w14:paraId="5BD335F2"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Condiciones de uso</w:t>
      </w:r>
    </w:p>
    <w:p w14:paraId="50C96545" w14:textId="772C9BAC" w:rsidR="00A90692" w:rsidRDefault="00A90692" w:rsidP="00A90692">
      <w:pPr>
        <w:pStyle w:val="Cuerpo"/>
        <w:jc w:val="both"/>
      </w:pPr>
      <w:r>
        <w:rPr>
          <w:rStyle w:val="Ninguno"/>
        </w:rPr>
        <w:t>El arrendatario podrá destinar la taquilla a guarda</w:t>
      </w:r>
      <w:r w:rsidR="000C7A3C">
        <w:rPr>
          <w:rStyle w:val="Ninguno"/>
        </w:rPr>
        <w:t>r</w:t>
      </w:r>
      <w:r>
        <w:rPr>
          <w:rStyle w:val="Ninguno"/>
        </w:rPr>
        <w:t xml:space="preserve"> material deportivo y de tiro con arco, así como a guarda</w:t>
      </w:r>
      <w:r w:rsidR="000C7A3C">
        <w:rPr>
          <w:rStyle w:val="Ninguno"/>
        </w:rPr>
        <w:t>r</w:t>
      </w:r>
      <w:r>
        <w:rPr>
          <w:rStyle w:val="Ninguno"/>
        </w:rPr>
        <w:t xml:space="preserve"> objetos personales, pero queda expresamente prohibido su uso para depositar objetos que por sus características o composición puedan ser considerados como peligrosos, nocivos o que atenten contra las normas o ideario de la instalación.</w:t>
      </w:r>
    </w:p>
    <w:p w14:paraId="593EF888" w14:textId="77777777" w:rsidR="00A90692" w:rsidRDefault="00A90692" w:rsidP="00A90692">
      <w:pPr>
        <w:pStyle w:val="Cuerpo"/>
        <w:jc w:val="both"/>
      </w:pPr>
      <w:r>
        <w:rPr>
          <w:rStyle w:val="Ninguno"/>
        </w:rPr>
        <w:t>El arrendatario se obliga a cuidar de la taquilla con el esmero debido y a destinarla a lo pactado. Igualmente deberá cuidar su mantenimiento y limpieza interior.</w:t>
      </w:r>
    </w:p>
    <w:p w14:paraId="5FD16BE5"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Funcionamiento de las taquillas</w:t>
      </w:r>
    </w:p>
    <w:p w14:paraId="00251F04" w14:textId="77777777" w:rsidR="00A90692" w:rsidRDefault="00A90692" w:rsidP="00A90692">
      <w:pPr>
        <w:pStyle w:val="Cuerpo"/>
        <w:jc w:val="both"/>
      </w:pPr>
      <w:r>
        <w:rPr>
          <w:rStyle w:val="Ninguno"/>
        </w:rPr>
        <w:t xml:space="preserve">Las taquillas se abrirán y cerrarán con una clave de cuatro dígitos que sólo conocerá el arrendatario. </w:t>
      </w:r>
    </w:p>
    <w:p w14:paraId="2B23825E"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Apertura de las taquillas</w:t>
      </w:r>
    </w:p>
    <w:p w14:paraId="0C4D268C" w14:textId="77777777" w:rsidR="00A90692" w:rsidRDefault="00A90692" w:rsidP="00A90692">
      <w:pPr>
        <w:pStyle w:val="Cuerpo"/>
        <w:jc w:val="both"/>
      </w:pPr>
      <w:r>
        <w:rPr>
          <w:rStyle w:val="Ninguno"/>
        </w:rPr>
        <w:t xml:space="preserve">El arrendador, por razones justificadas, </w:t>
      </w:r>
      <w:r w:rsidRPr="00C7388F">
        <w:rPr>
          <w:rStyle w:val="Ninguno"/>
          <w:color w:val="auto"/>
        </w:rPr>
        <w:t>(</w:t>
      </w:r>
      <w:r>
        <w:rPr>
          <w:rStyle w:val="Ninguno"/>
          <w:color w:val="auto"/>
        </w:rPr>
        <w:t>y</w:t>
      </w:r>
      <w:r w:rsidRPr="00C7388F">
        <w:rPr>
          <w:rStyle w:val="Ninguno"/>
          <w:color w:val="auto"/>
        </w:rPr>
        <w:t xml:space="preserve"> tras procurar comunicar dicha situación al arrendatari</w:t>
      </w:r>
      <w:r>
        <w:rPr>
          <w:rStyle w:val="Ninguno"/>
          <w:color w:val="auto"/>
        </w:rPr>
        <w:t>o)</w:t>
      </w:r>
      <w:r w:rsidRPr="00112C1D">
        <w:rPr>
          <w:rStyle w:val="Ninguno"/>
          <w:color w:val="auto"/>
        </w:rPr>
        <w:t>,</w:t>
      </w:r>
      <w:r>
        <w:rPr>
          <w:rStyle w:val="Ninguno"/>
          <w:color w:val="ED7D31"/>
        </w:rPr>
        <w:t xml:space="preserve"> </w:t>
      </w:r>
      <w:r>
        <w:rPr>
          <w:rStyle w:val="Ninguno"/>
        </w:rPr>
        <w:t>bajo la responsabilidad de la Real Federación Española de tiro con Arco, podrá proceder a la apertura de la taquilla empleando los medios necesarios.</w:t>
      </w:r>
    </w:p>
    <w:p w14:paraId="06CC74EC" w14:textId="77777777"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Subarriendo o cesión</w:t>
      </w:r>
    </w:p>
    <w:p w14:paraId="6CAE2DB7" w14:textId="77777777" w:rsidR="00A90692" w:rsidRDefault="00A90692" w:rsidP="00A90692">
      <w:pPr>
        <w:pStyle w:val="Cuerpo"/>
        <w:jc w:val="both"/>
      </w:pPr>
      <w:r>
        <w:rPr>
          <w:rStyle w:val="Ninguno"/>
        </w:rPr>
        <w:t xml:space="preserve">Queda prohibido subarrendar la taquilla. Queda igualmente prohibido el uso de la taquilla por persona distinta al arrendatario. </w:t>
      </w:r>
    </w:p>
    <w:p w14:paraId="711CB738" w14:textId="13BBF20C" w:rsidR="00A90692" w:rsidRPr="006B4578" w:rsidRDefault="00A90692" w:rsidP="00A90692">
      <w:pPr>
        <w:pStyle w:val="Prrafodelista"/>
        <w:numPr>
          <w:ilvl w:val="0"/>
          <w:numId w:val="2"/>
        </w:numPr>
        <w:jc w:val="both"/>
        <w:rPr>
          <w:b/>
          <w:bCs/>
          <w:sz w:val="24"/>
          <w:szCs w:val="24"/>
        </w:rPr>
      </w:pPr>
      <w:r w:rsidRPr="006B4578">
        <w:rPr>
          <w:rStyle w:val="Ninguno"/>
          <w:b/>
          <w:bCs/>
          <w:sz w:val="24"/>
          <w:szCs w:val="24"/>
        </w:rPr>
        <w:t>Plazo o duración</w:t>
      </w:r>
    </w:p>
    <w:p w14:paraId="75ADD55A" w14:textId="77777777" w:rsidR="00A90692" w:rsidRDefault="00A90692" w:rsidP="00A90692">
      <w:pPr>
        <w:pStyle w:val="Cuerpo"/>
        <w:jc w:val="both"/>
      </w:pPr>
      <w:r>
        <w:rPr>
          <w:rStyle w:val="Ninguno"/>
        </w:rPr>
        <w:t>El presente contrato tendrá una duración equivalente al momento de la contratación y asignación de la taquilla y hasta el 31 de diciembre del año en curso, salvo que el arrendatario no satisfaga el pago correspondiente al segundo semestre, caso en el cual el contrato se estimará extinguido a fecha 30 de junio.</w:t>
      </w:r>
    </w:p>
    <w:p w14:paraId="7300C201" w14:textId="4D675E34" w:rsidR="00990B2B" w:rsidRDefault="00990B2B">
      <w:pPr>
        <w:pStyle w:val="Cuerpo"/>
        <w:jc w:val="both"/>
      </w:pPr>
    </w:p>
    <w:p w14:paraId="1195D632" w14:textId="77777777" w:rsidR="00334BFB" w:rsidRDefault="00334BFB">
      <w:pPr>
        <w:pStyle w:val="Cuerpo"/>
        <w:jc w:val="both"/>
      </w:pPr>
    </w:p>
    <w:p w14:paraId="21B09BB1" w14:textId="4E8E8A95" w:rsidR="00F501E9" w:rsidRDefault="00C7388F" w:rsidP="00F501E9">
      <w:pPr>
        <w:pStyle w:val="Cuerpo"/>
        <w:jc w:val="both"/>
      </w:pPr>
      <w:r w:rsidRPr="00F501E9">
        <w:rPr>
          <w:rStyle w:val="Ninguno"/>
          <w:lang w:val="it-IT"/>
        </w:rPr>
        <w:t>Firma</w:t>
      </w:r>
      <w:r w:rsidR="00334BFB">
        <w:rPr>
          <w:rStyle w:val="Ninguno"/>
          <w:lang w:val="it-IT"/>
        </w:rPr>
        <w:t xml:space="preserve"> del</w:t>
      </w:r>
      <w:r w:rsidRPr="00F501E9">
        <w:rPr>
          <w:rStyle w:val="Ninguno"/>
          <w:lang w:val="it-IT"/>
        </w:rPr>
        <w:t xml:space="preserve"> usuario conforme ha le</w:t>
      </w:r>
      <w:proofErr w:type="spellStart"/>
      <w:r w:rsidRPr="00F501E9">
        <w:rPr>
          <w:rStyle w:val="Ninguno"/>
        </w:rPr>
        <w:t>ído</w:t>
      </w:r>
      <w:proofErr w:type="spellEnd"/>
      <w:r w:rsidRPr="00F501E9">
        <w:rPr>
          <w:rStyle w:val="Ninguno"/>
        </w:rPr>
        <w:t xml:space="preserve"> y entendido las cláusulas anteriores:</w:t>
      </w:r>
    </w:p>
    <w:p w14:paraId="0649EBEB" w14:textId="5CEC4294" w:rsidR="00F501E9" w:rsidRDefault="00F501E9" w:rsidP="00F501E9">
      <w:pPr>
        <w:pStyle w:val="Cuerpo"/>
        <w:jc w:val="both"/>
      </w:pPr>
    </w:p>
    <w:p w14:paraId="77CD958C" w14:textId="77777777" w:rsidR="00990B2B" w:rsidRDefault="00990B2B" w:rsidP="00F501E9">
      <w:pPr>
        <w:pStyle w:val="Cuerpo"/>
        <w:rPr>
          <w:rStyle w:val="Ninguno"/>
          <w:b/>
          <w:bCs/>
        </w:rPr>
      </w:pPr>
    </w:p>
    <w:p w14:paraId="6212274E" w14:textId="24EF0270" w:rsidR="00F501E9" w:rsidRDefault="00F501E9" w:rsidP="00F501E9">
      <w:pPr>
        <w:pStyle w:val="Cuerpo"/>
        <w:rPr>
          <w:rStyle w:val="Ninguno"/>
          <w:b/>
          <w:bCs/>
        </w:rPr>
      </w:pPr>
    </w:p>
    <w:p w14:paraId="003D4FCB" w14:textId="4B2ACEB3" w:rsidR="00990B2B" w:rsidRDefault="00990B2B" w:rsidP="00F501E9">
      <w:pPr>
        <w:pStyle w:val="Cuerpo"/>
        <w:rPr>
          <w:rStyle w:val="Ninguno"/>
          <w:b/>
          <w:bCs/>
        </w:rPr>
      </w:pPr>
    </w:p>
    <w:p w14:paraId="44488C75" w14:textId="77777777" w:rsidR="00990B2B" w:rsidRDefault="00990B2B" w:rsidP="00F501E9">
      <w:pPr>
        <w:pStyle w:val="Cuerpo"/>
        <w:rPr>
          <w:rStyle w:val="Ninguno"/>
          <w:b/>
          <w:bCs/>
        </w:rPr>
      </w:pPr>
    </w:p>
    <w:p w14:paraId="6D7AB5FF" w14:textId="77777777" w:rsidR="00F501E9" w:rsidRDefault="00F501E9" w:rsidP="00F501E9">
      <w:pPr>
        <w:pStyle w:val="Cuerpo"/>
        <w:rPr>
          <w:rStyle w:val="Ninguno"/>
          <w:b/>
          <w:bCs/>
        </w:rPr>
      </w:pPr>
    </w:p>
    <w:p w14:paraId="17A4EF9A" w14:textId="77777777" w:rsidR="00F501E9" w:rsidRDefault="00F501E9" w:rsidP="00F501E9">
      <w:pPr>
        <w:pStyle w:val="Cuerpo"/>
        <w:rPr>
          <w:rStyle w:val="Ninguno"/>
          <w:b/>
          <w:bCs/>
        </w:rPr>
      </w:pPr>
    </w:p>
    <w:p w14:paraId="2D889314" w14:textId="77777777" w:rsidR="00F501E9" w:rsidRDefault="00F501E9" w:rsidP="008D1028">
      <w:pPr>
        <w:pStyle w:val="Cuerpo"/>
        <w:jc w:val="right"/>
      </w:pPr>
      <w:proofErr w:type="spellStart"/>
      <w:r>
        <w:rPr>
          <w:rStyle w:val="Ninguno"/>
          <w:lang w:val="en-US"/>
        </w:rPr>
        <w:t>En</w:t>
      </w:r>
      <w:proofErr w:type="spellEnd"/>
      <w:r>
        <w:rPr>
          <w:rStyle w:val="Ninguno"/>
          <w:lang w:val="en-US"/>
        </w:rPr>
        <w:t xml:space="preserve"> Madrid, a ______________ de ________________________ </w:t>
      </w:r>
      <w:proofErr w:type="spellStart"/>
      <w:r>
        <w:rPr>
          <w:rStyle w:val="Ninguno"/>
          <w:lang w:val="en-US"/>
        </w:rPr>
        <w:t>de</w:t>
      </w:r>
      <w:proofErr w:type="spellEnd"/>
      <w:r>
        <w:rPr>
          <w:rStyle w:val="Ninguno"/>
          <w:lang w:val="en-US"/>
        </w:rPr>
        <w:t xml:space="preserve"> 202__</w:t>
      </w:r>
    </w:p>
    <w:p w14:paraId="33359839" w14:textId="77777777" w:rsidR="008820B0" w:rsidRDefault="008820B0">
      <w:pPr>
        <w:pStyle w:val="Cuerpo"/>
        <w:jc w:val="both"/>
      </w:pPr>
    </w:p>
    <w:sectPr w:rsidR="008820B0">
      <w:headerReference w:type="default" r:id="rId7"/>
      <w:footerReference w:type="default" r:id="rId8"/>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532C" w14:textId="77777777" w:rsidR="00632ECA" w:rsidRDefault="00C7388F">
      <w:r>
        <w:separator/>
      </w:r>
    </w:p>
  </w:endnote>
  <w:endnote w:type="continuationSeparator" w:id="0">
    <w:p w14:paraId="4BD90281" w14:textId="77777777" w:rsidR="00632ECA" w:rsidRDefault="00C7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2722" w14:textId="77777777" w:rsidR="008820B0" w:rsidRDefault="00C7388F">
    <w:pPr>
      <w:pStyle w:val="Piedepgina"/>
      <w:tabs>
        <w:tab w:val="clear" w:pos="8504"/>
        <w:tab w:val="right" w:pos="847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80C0" w14:textId="77777777" w:rsidR="00632ECA" w:rsidRDefault="00C7388F">
      <w:r>
        <w:separator/>
      </w:r>
    </w:p>
  </w:footnote>
  <w:footnote w:type="continuationSeparator" w:id="0">
    <w:p w14:paraId="7C105D5B" w14:textId="77777777" w:rsidR="00632ECA" w:rsidRDefault="00C7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28D8" w14:textId="02AD91CF" w:rsidR="008820B0" w:rsidRDefault="004A4B8D">
    <w:pPr>
      <w:pStyle w:val="Encabezado"/>
      <w:tabs>
        <w:tab w:val="clear" w:pos="8504"/>
        <w:tab w:val="right" w:pos="8478"/>
      </w:tabs>
    </w:pPr>
    <w:r>
      <w:rPr>
        <w:noProof/>
      </w:rPr>
      <w:drawing>
        <wp:anchor distT="0" distB="0" distL="114300" distR="114300" simplePos="0" relativeHeight="251659264" behindDoc="0" locked="0" layoutInCell="1" allowOverlap="1" wp14:anchorId="57BF673F" wp14:editId="730DE6B7">
          <wp:simplePos x="0" y="0"/>
          <wp:positionH relativeFrom="margin">
            <wp:align>center</wp:align>
          </wp:positionH>
          <wp:positionV relativeFrom="paragraph">
            <wp:posOffset>-236855</wp:posOffset>
          </wp:positionV>
          <wp:extent cx="1330325" cy="676910"/>
          <wp:effectExtent l="0" t="0" r="3175" b="8890"/>
          <wp:wrapNone/>
          <wp:docPr id="13" name="Imagen 13" descr="RFETAconTextoAlto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FETAconTextoAlto50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676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F69"/>
    <w:multiLevelType w:val="hybridMultilevel"/>
    <w:tmpl w:val="FE9EAE74"/>
    <w:styleLink w:val="Estiloimportado1"/>
    <w:lvl w:ilvl="0" w:tplc="2D8C9BA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F20A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EB69192">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38183C9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530A35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2B25556">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4AF2B5B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9EECE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4C924A">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F0335E"/>
    <w:multiLevelType w:val="hybridMultilevel"/>
    <w:tmpl w:val="FE9EAE74"/>
    <w:numStyleLink w:val="Estiloimportado1"/>
  </w:abstractNum>
  <w:abstractNum w:abstractNumId="2" w15:restartNumberingAfterBreak="0">
    <w:nsid w:val="77596BD8"/>
    <w:multiLevelType w:val="hybridMultilevel"/>
    <w:tmpl w:val="FE9EAE74"/>
    <w:lvl w:ilvl="0" w:tplc="FFFFFFFF">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354380584">
    <w:abstractNumId w:val="0"/>
  </w:num>
  <w:num w:numId="2" w16cid:durableId="787941233">
    <w:abstractNumId w:val="1"/>
  </w:num>
  <w:num w:numId="3" w16cid:durableId="105527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B0"/>
    <w:rsid w:val="000C7A3C"/>
    <w:rsid w:val="000E577C"/>
    <w:rsid w:val="00180ED7"/>
    <w:rsid w:val="002F17B8"/>
    <w:rsid w:val="00334BFB"/>
    <w:rsid w:val="00386214"/>
    <w:rsid w:val="003E72B3"/>
    <w:rsid w:val="004A4B8D"/>
    <w:rsid w:val="00501D1C"/>
    <w:rsid w:val="005F49EC"/>
    <w:rsid w:val="00632ECA"/>
    <w:rsid w:val="006B4578"/>
    <w:rsid w:val="006F61E7"/>
    <w:rsid w:val="008820B0"/>
    <w:rsid w:val="008A1F69"/>
    <w:rsid w:val="008D09C2"/>
    <w:rsid w:val="008D1028"/>
    <w:rsid w:val="00907DB8"/>
    <w:rsid w:val="00990B2B"/>
    <w:rsid w:val="00A843C4"/>
    <w:rsid w:val="00A90692"/>
    <w:rsid w:val="00B51215"/>
    <w:rsid w:val="00B617A6"/>
    <w:rsid w:val="00B70769"/>
    <w:rsid w:val="00C7388F"/>
    <w:rsid w:val="00D676B1"/>
    <w:rsid w:val="00F501E9"/>
    <w:rsid w:val="00FD35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0866"/>
  <w15:docId w15:val="{62CF36E3-0FF0-43A4-A7F1-8D44BA8C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C738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eastAsia="Calibri" w:hAnsi="Calibri" w:cs="Calibri"/>
      <w:color w:val="000000"/>
      <w:sz w:val="22"/>
      <w:szCs w:val="22"/>
      <w:u w:color="000000"/>
      <w:lang w:val="es-ES_tradnl"/>
    </w:rPr>
  </w:style>
  <w:style w:type="character" w:customStyle="1" w:styleId="Ninguno">
    <w:name w:val="Ninguno"/>
  </w:style>
  <w:style w:type="paragraph" w:styleId="Piedepgina">
    <w:name w:val="footer"/>
    <w:pPr>
      <w:tabs>
        <w:tab w:val="center" w:pos="4252"/>
        <w:tab w:val="right" w:pos="8504"/>
      </w:tabs>
    </w:pPr>
    <w:rPr>
      <w:rFonts w:ascii="Calibri" w:eastAsia="Calibri" w:hAnsi="Calibri" w:cs="Calibri"/>
      <w:color w:val="000000"/>
      <w:sz w:val="22"/>
      <w:szCs w:val="22"/>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character" w:customStyle="1" w:styleId="Ttulo1Car">
    <w:name w:val="Título 1 Car"/>
    <w:basedOn w:val="Fuentedeprrafopredeter"/>
    <w:link w:val="Ttulo1"/>
    <w:uiPriority w:val="9"/>
    <w:rsid w:val="00C7388F"/>
    <w:rPr>
      <w:rFonts w:asciiTheme="majorHAnsi" w:eastAsiaTheme="majorEastAsia" w:hAnsiTheme="majorHAnsi" w:cstheme="majorBidi"/>
      <w:color w:val="2F5496" w:themeColor="accent1" w:themeShade="BF"/>
      <w:sz w:val="32"/>
      <w:szCs w:val="32"/>
      <w:lang w:val="en-US" w:eastAsia="en-US"/>
    </w:rPr>
  </w:style>
  <w:style w:type="paragraph" w:styleId="NormalWeb">
    <w:name w:val="Normal (Web)"/>
    <w:basedOn w:val="Normal"/>
    <w:uiPriority w:val="99"/>
    <w:semiHidden/>
    <w:unhideWhenUsed/>
    <w:rsid w:val="003862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30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jpiquer</dc:creator>
  <cp:lastModifiedBy>Rifaat Chabouk</cp:lastModifiedBy>
  <cp:revision>2</cp:revision>
  <cp:lastPrinted>2021-03-08T15:32:00Z</cp:lastPrinted>
  <dcterms:created xsi:type="dcterms:W3CDTF">2022-12-23T14:31:00Z</dcterms:created>
  <dcterms:modified xsi:type="dcterms:W3CDTF">2022-12-23T14:31:00Z</dcterms:modified>
</cp:coreProperties>
</file>